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VSBG — Schlichtungsvorschlag</w:t>
      </w:r>
    </w:p>
    <w:p>
      <w:r>
        <w:rPr>
          <w:color w:val="555555"/>
          <w:sz w:val="18"/>
        </w:rPr>
        <w:t xml:space="preserve">Verbraucherstreitbeilegungsgesetz</w:t>
      </w:r>
    </w:p>
    <w:p>
      <w:r>
        <w:rPr>
          <w:color w:val="555555"/>
          <w:sz w:val="18"/>
        </w:rPr>
        <w:t xml:space="preserve">Stand: 10.06.2019 (konsolidierte Textfassung, kein amtliches Inkrafttretensdatum)</w:t>
      </w:r>
    </w:p>
    <w:p>
      <w:r>
        <w:t xml:space="preserve">(1) Hat der Streitmittler nach der Verfahrensordnung den Parteien einen Vorschlag zur Beilegung der Streitigkeit (Schlichtungsvorschlag) zu unterbreiten, so beruht dieser auf der sich aus dem Streitbeilegungsverfahren ergebenden Sachlage. Der Schlichtungsvorschlag soll am geltenden Recht ausgerichtet sein und soll insbesondere die zwingenden Verbraucherschutzgesetze beachten. Der Schlichtungsvorschlag ist mit einer Begründung zu versehen, aus der sich der zugrunde gelegte Sachverhalt und die rechtliche Bewertung des Streitmittlers ergeben.</w:t>
      </w:r>
    </w:p>
    <w:p>
      <w:r>
        <w:t xml:space="preserve">(2) Die Verbraucherschlichtungsstelle übermittelt den Parteien den Schlichtungsvorschlag in Textform.</w:t>
      </w:r>
    </w:p>
    <w:p>
      <w:r>
        <w:t xml:space="preserve">(3) Die Verbraucherschlichtungsstelle unterrichtet die Parteien mit der Übermittlung des Schlichtungsvorschlags über die rechtlichen Folgen einer Annahme des Vorschlags und darüber, dass der Vorschlag von dem Ergebnis eines gerichtlichen Verfahrens abweichen kann. Sie weist auf die Möglichkeit hin, den Vorschlag nicht anzunehmen und die Gerichte anzurufen. Die Verbraucherschlichtungsstelle setzt den Parteien eine angemessene Frist zur Annahme des Vorschlags.</w:t>
      </w:r>
    </w:p>
    <w:p>
      <w:r>
        <w:t xml:space="preserve">(4) Von einer Unterrichtung des Unternehmers nach Absatz 3 ist abzusehen, wenn sich dieser dem Schlichtungsvorschlag bereits vorab unterworfen hat.</w:t>
      </w:r>
    </w:p>
    <w:p>
      <w:r>
        <w:rPr>
          <w:color w:val="555555"/>
          <w:sz w:val="17"/>
        </w:rPr>
        <w:t xml:space="preserve">Zitiervorschlag: § 19 VSBG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https://recht.nulegal.eu/gesetze/VSBG/19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