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VSBG — Rechtliches Gehör</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Die Parteien erhalten rechtliches Gehör und können Tatsachen und Bewertungen vorbringen. Die Verbraucherschlichtungsstelle kann den Parteien eine angemessene Frist zur Stellungnahme setzen. Die Frist beträgt in der Regel drei Wochen und kann auf Antrag verlängert werden.</w:t>
      </w:r>
    </w:p>
    <w:p>
      <w:r>
        <w:t xml:space="preserve">(2) Der Streitmittler kann die Streitigkeit mit den Parteien mündlich erörtern, wenn diese Möglichkeit in der Verfahrensordnung der Verbraucherschlichtungsstelle vorgesehen ist und die Parteien zustimmen.</w:t>
      </w:r>
    </w:p>
    <w:p>
      <w:r>
        <w:rPr>
          <w:color w:val="555555"/>
          <w:sz w:val="17"/>
        </w:rPr>
        <w:t xml:space="preserve">Zitiervorschlag: § 17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