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VSBG — Anwendungsbereich</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Dieses Gesetz gilt für die außergerichtliche Beilegung von Streitigkeiten durch eine nach diesem Gesetz anerkannte private Verbraucherschlichtungsstelle oder durch eine nach diesem Gesetz eingerichtete behördliche Verbraucherschlichtungsstelle unabhängig von dem angewendeten Konfliktbeilegungsverfahren. Dieses Gesetz gilt auch für Verbraucherschlichtungsstellen, die auf Grund anderer Rechtsvorschriften anerkannt, beauftragt oder eingerichtet wurden, soweit diese anderen Rechtsvorschriften keine abweichende Regelung treffen; von den §§ 2 und 41 darf nicht abgewichen werden.</w:t>
      </w:r>
    </w:p>
    <w:p>
      <w:r>
        <w:t xml:space="preserve">(2) Dieses Gesetz ist nicht anwendbar auf Kundenbeschwerdestellen oder auf sonstige Einrichtungen zur Beilegung von Streitigkeiten, die nur von einem einzigen Unternehmer oder von mit ihm verbundenen Unternehmen getragen oder finanziert werden oder die nur im Auftrag eines solchen Unternehmers oder von mit ihm verbundenen Unternehmen tätig werden.</w:t>
      </w:r>
    </w:p>
    <w:p>
      <w:r>
        <w:rPr>
          <w:color w:val="555555"/>
          <w:sz w:val="17"/>
        </w:rPr>
        <w:t xml:space="preserve">Zitiervorschlag: § 1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