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VRegV</w:t>
      </w:r>
    </w:p>
    <w:p>
      <w:r>
        <w:rPr>
          <w:color w:val="555555"/>
          <w:sz w:val="18"/>
        </w:rPr>
        <w:t xml:space="preserve">Vorsorgeregister-Verordnung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78a Abs. 3 der Bundesnotarordnung, der durch Artikel 2b des Gesetzes vom 23. April 2004 (BGBl. I S. 598)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VRegV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