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VRegV — Aufbewahrung von Dokumenten</w:t>
      </w:r>
    </w:p>
    <w:p>
      <w:r>
        <w:rPr>
          <w:color w:val="555555"/>
          <w:sz w:val="18"/>
        </w:rPr>
        <w:t xml:space="preserve">Vorsorgeregister-Verordnung</w:t>
      </w:r>
    </w:p>
    <w:p>
      <w:r>
        <w:rPr>
          <w:color w:val="555555"/>
          <w:sz w:val="18"/>
        </w:rPr>
        <w:t xml:space="preserve">Stand: 02.12.2019 (konsolidierte Textfassung, kein amtliches Inkrafttretensdatum)</w:t>
      </w:r>
    </w:p>
    <w:p>
      <w:r>
        <w:t xml:space="preserve">Die ein einzelnes Eintragungs- oder Auskunftsverfahren betreffenden Dokumente hat die Bundesnotarkammer fünf Jahre aufzubewahren. Die Aufbewahrungsfrist beginnt mit dem Schluss des Kalenderjahres, in dem die letzte Verfügung zur Sache ergangen ist oder die Angelegenheit ihre Erledigung gefunden hat. Nach Ablauf der Aufbewahrungsfrist sind die Dokumente zu vernichten.</w:t>
      </w:r>
    </w:p>
    <w:p>
      <w:r>
        <w:rPr>
          <w:color w:val="555555"/>
          <w:sz w:val="17"/>
        </w:rPr>
        <w:t xml:space="preserve">Zitiervorschlag: § 8 VRegV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