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VRegV — Änderung, Ergänzung und Löschung von Eintragungen</w:t>
      </w:r>
    </w:p>
    <w:p>
      <w:r>
        <w:rPr>
          <w:color w:val="555555"/>
          <w:sz w:val="18"/>
        </w:rPr>
        <w:t xml:space="preserve">Vorsorgeregister-Verordnung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Änderungen, Ergänzungen und Löschungen von Eintragungen erfolgen auf schriftlichen Antrag des Vollmachtgebers oder des einer Vertretung durch den Ehegatten Widersprechenden. § 2 Abs. 2, 3 und § 3 gelten entsprechend.</w:t>
      </w:r>
    </w:p>
    <w:p>
      <w:r>
        <w:t xml:space="preserve">(2) Bei der Eintragung von Änderungen und Ergänzungen ist sicherzustellen, dass die bisherige Eintragung auf Anforderung erkennbar bleibt.</w:t>
      </w:r>
    </w:p>
    <w:p>
      <w:r>
        <w:t xml:space="preserve">(3) Daten nach § 1 Abs. 1 Nr. 2 sind auch auf schriftlichen Antrag des Bevollmächtigten zu löschen. § 2 Abs. 2 und 3 gilt entsprechend.</w:t>
      </w:r>
    </w:p>
    <w:p>
      <w:r>
        <w:t xml:space="preserve">(4) Eintragungen sind 110 Jahre nach der Geburt des Vollmachtgebers oder des einer Vertretung durch den Ehegatten Widersprechenden zu löschen.</w:t>
      </w:r>
    </w:p>
    <w:p>
      <w:r>
        <w:rPr>
          <w:color w:val="555555"/>
          <w:sz w:val="17"/>
        </w:rPr>
        <w:t xml:space="preserve">Zitiervorschlag: § 5 VRegV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