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VRegV — Benachrichtigung des Bevollmächtigten</w:t>
      </w:r>
    </w:p>
    <w:p>
      <w:r>
        <w:rPr>
          <w:color w:val="555555"/>
          <w:sz w:val="18"/>
        </w:rPr>
        <w:t xml:space="preserve">Vorsorgeregister-Verordnung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Nach Eingang des Eintragungsantrags hat die Bundesnotarkammer einen Bevollmächtigten, der nicht schriftlich in die Speicherung der Daten zu seiner Person eingewilligt hat, schriftlich über die nach § 1 Abs. 1 Nr. 1 Buchstabe a, c, g und Nr. 2 bis 6 gespeicherten Daten zu unterrichten. Artikel 14 der Verordnung (EU) 2016/679 bleibt unberührt.</w:t>
      </w:r>
    </w:p>
    <w:p>
      <w:r>
        <w:rPr>
          <w:color w:val="555555"/>
          <w:sz w:val="17"/>
        </w:rPr>
        <w:t xml:space="preserve">Zitiervorschlag: § 4 VRegV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