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VRegV — Vorschuss, Antragsrücknahme bei Nichtzahlung</w:t>
      </w:r>
    </w:p>
    <w:p>
      <w:r>
        <w:rPr>
          <w:color w:val="555555"/>
          <w:sz w:val="18"/>
        </w:rPr>
        <w:t xml:space="preserve">Vorsorgeregister-Verordnung</w:t>
      </w:r>
    </w:p>
    <w:p>
      <w:r>
        <w:rPr>
          <w:color w:val="555555"/>
          <w:sz w:val="18"/>
        </w:rPr>
        <w:t xml:space="preserve">Stand: 10.06.2019 (konsolidierte Textfassung, kein amtliches Inkrafttretensdatum)</w:t>
      </w:r>
    </w:p>
    <w:p>
      <w:r>
        <w:t xml:space="preserve">(1) Die Bundesnotarkammer kann die Zahlung eines zur Deckung der Gebühren hinreichenden Vorschusses verlangen. Sie kann die Vornahme der Eintragung von der Zahlung oder Sicherstellung des Vorschusses abhängig machen.</w:t>
      </w:r>
    </w:p>
    <w:p>
      <w:r>
        <w:t xml:space="preserve">(2) Wird ein verlangter Vorschuss innerhalb angemessener Frist nicht gezahlt, gilt der Antrag als zurückgenommen. Die Frist sowie die Rechtsfolge der Fristversäumnis sind mit dem Verlangen des Vorschusses mitzuteilen. Die Frist darf 30 Tage nicht unterschreiten.</w:t>
      </w:r>
    </w:p>
    <w:p>
      <w:r>
        <w:rPr>
          <w:color w:val="555555"/>
          <w:sz w:val="17"/>
        </w:rPr>
        <w:t xml:space="preserve">Zitiervorschlag: § 3 VRegV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https://recht.nulegal.eu/gesetze/VRegV/3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