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VRegV — Eintragungsantrag</w:t>
      </w:r>
    </w:p>
    <w:p>
      <w:r>
        <w:rPr>
          <w:color w:val="555555"/>
          <w:sz w:val="18"/>
        </w:rPr>
        <w:t xml:space="preserve">Vorsorgeregister-Verordnung</w:t>
      </w:r>
    </w:p>
    <w:p>
      <w:r>
        <w:rPr>
          <w:color w:val="555555"/>
          <w:sz w:val="18"/>
        </w:rPr>
        <w:t xml:space="preserve">Stand: 01.01.2023 (konsolidierte Textfassung, kein amtliches Inkrafttretensdatum)</w:t>
      </w:r>
    </w:p>
    <w:p>
      <w:r>
        <w:t xml:space="preserve">(1) Die Eintragung erfolgt auf schriftlichen Antrag des Vollmachtgebers oder des einer Vertretung durch den Ehegatten Widersprechenden. Der Antrag hat mindestens die Angaben nach § 1 Abs. 1 Nr. 1 Buchstabe a, c bis g zu enthalten. Sollen auch Angaben über den Bevollmächtigten eingetragen werden, muss der Antrag zudem mindestens die Angaben nach § 1 Abs. 1 Nr. 2 Buchstabe a, c und e enthalten. Die Angaben nach § 1 Abs. 3 werden unabhängig von dem Antrag eingetragen.</w:t>
      </w:r>
    </w:p>
    <w:p>
      <w:r>
        <w:t xml:space="preserve">(2) Der Antrag kann auch im Wege der Datenfernübertragung gestellt werden, soweit die Bundesnotarkammer diese Möglichkeit eröffnet hat. Die Bundesnotarkammer hat dem jeweiligen Stand der Technik entsprechende Maßnahmen zur Sicherstellung von Datenschutz und Datensicherheit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zu treffen, die insbesondere die Vertraulichkeit und Unversehrtheit der Daten gewährleisten; im Falle der Nutzung allgemein zugänglicher Netze sind dem jeweiligen Stand der Technik entsprechende Verschlüsselungsverfahren anzuwenden.</w:t>
      </w:r>
    </w:p>
    <w:p>
      <w:r>
        <w:t xml:space="preserve">(3) In Zweifelsfällen hat die Bundesnotarkammer sich von der Identität des Antragstellers zu überzeugen. Im Übrigen prüft sie die Richtigkeit der mit dem Antrag übermittelten Angaben nicht.</w:t>
      </w:r>
    </w:p>
    <w:p>
      <w:r>
        <w:rPr>
          <w:color w:val="555555"/>
          <w:sz w:val="17"/>
        </w:rPr>
        <w:t xml:space="preserve">Zitiervorschlag: § 2 VRegV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https://recht.nulegal.eu/gesetze/VRegV/2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