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VReformG — Inkrafttreten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1999 in Kraft.</w:t>
      </w:r>
    </w:p>
    <w:p>
      <w:r>
        <w:t xml:space="preserve">(2) Abweichend von Absatz 1 treten in Kraft:</w:t>
      </w:r>
    </w:p>
    <w:p>
      <w:pPr>
        <w:ind w:left="420"/>
      </w:pPr>
      <w:r>
        <w:t xml:space="preserve">1. mit Wirkung vom 1. Januar 1993 Artikel 20 Abs. 1,</w:t>
      </w:r>
    </w:p>
    <w:p>
      <w:r>
        <w:t xml:space="preserve">2.</w:t>
      </w:r>
    </w:p>
    <w:p>
      <w:pPr>
        <w:ind w:left="420"/>
      </w:pPr>
      <w:r>
        <w:t xml:space="preserve">3. mit Wirkung vom 1. Juli 1997 Artikel 20 Abs. 3,</w:t>
      </w:r>
    </w:p>
    <w:p>
      <w:pPr>
        <w:ind w:left="420"/>
      </w:pPr>
      <w:r>
        <w:t xml:space="preserve">4. bis 6.</w:t>
      </w:r>
    </w:p>
    <w:p>
      <w:pPr>
        <w:ind w:left="420"/>
      </w:pPr>
      <w:r>
        <w:t xml:space="preserve">7. am 1. Januar 2007 Artikel 4.</w:t>
      </w:r>
    </w:p>
    <w:p>
      <w:r>
        <w:t xml:space="preserve">(3) Abweichend von Absatz 2 Nr. 5 treten die Regelungen über die Einführung eines Versorgungsabschlags für Beamte, Richter und Berufssoldaten, die wegen Schwerbehinderung auf Antrag oder wegen Dienstunfähigkeit in den Ruhestand versetzt werden, in Artikel 2 Nr. 4 und 9 sowie Artikel 6 Nr. 7, 8 Buchstabe a, Nr. 15 Buchstabe a, Nr. 36, soweit § 69c Abs. 6 und 7 (Beamtenversorgungsgesetz) eingefügt werden, und Nr. 37 sowie Artikel 7 Nr. 10, 11 Buchstabe f und Nr. 44, soweit § 96 Abs. 6 (Soldatenversorgungsgesetz) eingefügt wird, am 1. Januar 2001 in Kraft, soweit nicht bis zu diesem Zeitpunkt durch ein Gesetz ein anderes geregelt ist.</w:t>
      </w:r>
    </w:p>
    <w:p>
      <w:r>
        <w:rPr>
          <w:color w:val="555555"/>
          <w:sz w:val="17"/>
        </w:rPr>
        <w:t xml:space="preserve">Zitiervorschlag: Art 24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