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VReformG — Umsetzungspflicht</w:t>
      </w:r>
    </w:p>
    <w:p>
      <w:r>
        <w:rPr>
          <w:color w:val="555555"/>
          <w:sz w:val="18"/>
        </w:rPr>
        <w:t xml:space="preserve">Versorgungsreformgesetz 1998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Verpflichtung der Länder aus Artikel 75 Abs. 3 des Grundgesetzes ist bis zum 1. Januar 2000 zu erfüllen.</w:t>
      </w:r>
    </w:p>
    <w:p>
      <w:r>
        <w:rPr>
          <w:color w:val="555555"/>
          <w:sz w:val="17"/>
        </w:rPr>
        <w:t xml:space="preserve">Zitiervorschlag: Art 23 VReformG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https://recht.nulegal.eu/gesetze/VReformG/23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