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1 VRV — (zu § 2 Satz 2)</w:t>
      </w:r>
    </w:p>
    <w:p>
      <w:r>
        <w:rPr>
          <w:color w:val="555555"/>
          <w:sz w:val="18"/>
        </w:rPr>
        <w:t xml:space="preserve">Vereinsregisterverordnung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rPr>
          <w:rFonts w:ascii="Courier New" w:hAnsi="Courier New"/>
          <w:sz w:val="17"/>
        </w:rPr>
        <w:t xml:space="preserve">&lt; Fundstelle des Originaltextes: BGBl. I 1999, 154 &gt;</w:t>
      </w:r>
    </w:p>
    <w:p>
      <w:r>
        <w:rPr>
          <w:rFonts w:ascii="Courier New" w:hAnsi="Courier New"/>
          <w:sz w:val="17"/>
        </w:rPr>
        <w:t xml:space="preserve">Vereinsregister des Amtsgerichts    Nummer des Vereins: VR</w:t>
      </w:r>
    </w:p>
    <w:p>
      <w:r>
        <w:rPr>
          <w:rFonts w:ascii="Courier New" w:hAnsi="Courier New"/>
          <w:sz w:val="17"/>
        </w:rPr>
        <w:t xml:space="preserve">Nummer der Eintragung    a)    Name    a)    Allgemeine Vertretungsregelung    a)    Satzung    a)    Tag der</w:t>
      </w:r>
    </w:p>
    <w:p>
      <w:r>
        <w:rPr>
          <w:rFonts w:ascii="Courier New" w:hAnsi="Courier New"/>
          <w:sz w:val="17"/>
        </w:rPr>
        <w:t xml:space="preserve">b)    Sitz    b)    Vertretungsberechtigte und besondere Vertretungsbefugnis    b)    Sonstige Rechtsverhältnisse    b)    Eintragung Bemerkungen</w:t>
      </w:r>
    </w:p>
    <w:p>
      <w:r>
        <w:rPr>
          <w:rFonts w:ascii="Courier New" w:hAnsi="Courier New"/>
          <w:sz w:val="17"/>
        </w:rPr>
        <w:t xml:space="preserve">1    2    3    4    5</w:t>
      </w:r>
    </w:p>
    <w:p>
      <w:r>
        <w:rPr>
          <w:color w:val="555555"/>
          <w:sz w:val="17"/>
        </w:rPr>
        <w:t xml:space="preserve">Zitiervorschlag: Anlage 1 VRV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https://recht.nulegal.eu/gesetze/VRV/anlage-1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