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VRV — Eintragungsverfügung</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Die Eintragung erfolgt auf Grund einer Eintragungsverfügung, die den Wortlaut der Eintragung feststellt.</w:t>
      </w:r>
    </w:p>
    <w:p>
      <w:r>
        <w:t xml:space="preserve">(2) Das Registergericht hat dafür Sorge zu tragen, daß die gesetzlich vorgeschriebenen Eintragungen in das Register erfolgen. Ist zweifelhaft, ob der Zweck eines angemeldeten Vereins auf einen nichtwirtschaftlichen Geschäftsbetrieb gerichtet ist, kann das Registergericht im Wege der Amtshilfe eine Stellungnahme der nach § 22 des Bürgerlichen Gesetzbuchs zuständigen Stelle und der Industrie- und Handelskammer oder einer anderen geeigneten Stelle einholen. Das Registergericht teilt seine Entscheidung dieser Stelle mit, wenn sie darum gebeten hat.</w:t>
      </w:r>
    </w:p>
    <w:p>
      <w:r>
        <w:t xml:space="preserve">(3) (weggefallen)</w:t>
      </w:r>
    </w:p>
    <w:p>
      <w:r>
        <w:t xml:space="preserve">(4) (weggefallen)</w:t>
      </w:r>
    </w:p>
    <w:p>
      <w:r>
        <w:rPr>
          <w:color w:val="555555"/>
          <w:sz w:val="17"/>
        </w:rPr>
        <w:t xml:space="preserve">Zitiervorschlag: § 9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