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VRV — Datenverarbeitung im Auftrag</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Die Vorschriften der Unterabschnitte 1 bis 5 gelten für die Verarbeitung von Vereinsregisterdaten im Auftrag des zuständigen Gerichts (§ 387 Abs. 1 und 5 des Gesetzes über das Verfahren in Familiensachen und in den Angelegenheiten der freiwilligen Gerichtsbarkeit) sinngemäß. Hierbei soll sichergestellt sein, daß Eintragungen in das maschinell geführte Vereinsregister und der Abruf von Daten hieraus nur erfolgen, wenn dies von dem zuständigen Gericht verfügt worden oder sonst zulässig ist.</w:t>
      </w:r>
    </w:p>
    <w:p>
      <w:r>
        <w:t xml:space="preserve">(2) Die Verarbeitung von Registerdaten im Auftrag des zuständigen Gerichts ist auf Anlagen, die nicht im Eigentum des Auftragnehmers stehen, nur zulässig, wenn gewährleistet ist, dass die Daten dem uneingeschränkten Zugriff des Gerichts unterliegen und der Eigentümer der Anlage keinen Zugang zu den Daten hat.</w:t>
      </w:r>
    </w:p>
    <w:p>
      <w:r>
        <w:rPr>
          <w:color w:val="555555"/>
          <w:sz w:val="17"/>
        </w:rPr>
        <w:t xml:space="preserve">Zitiervorschlag: § 37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