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VRV — Einsicht in das maschinell geführte Vereinsregister</w:t>
      </w:r>
    </w:p>
    <w:p>
      <w:r>
        <w:rPr>
          <w:color w:val="555555"/>
          <w:sz w:val="18"/>
        </w:rPr>
        <w:t xml:space="preserve">Vereinsregisterverordnung</w:t>
      </w:r>
    </w:p>
    <w:p>
      <w:r>
        <w:rPr>
          <w:color w:val="555555"/>
          <w:sz w:val="18"/>
        </w:rPr>
        <w:t xml:space="preserve">Stand: 10.06.2019 (konsolidierte Textfassung, kein amtliches Inkrafttretensdatum)</w:t>
      </w:r>
    </w:p>
    <w:p>
      <w:r>
        <w:t xml:space="preserve">Die Einsicht in das maschinell geführte Vereinsregister ist über ein Datensichtgerät oder durch Einsicht in einen aktuellen oder chronologischen Ausdruck zu gewähren. Dem Einsichtnehmenden kann gestattet werden, das Registerblatt selbst am Datensichtgerät einzusehen, wenn sichergestellt ist, dass er die zulässige Einsicht nicht überschreitet und Veränderungen am Inhalt des Vereinsregisters nicht vorgenommen werden können. Für die Einsicht in die vom Verein eingereichten Dokumente, die elektronisch aufbewahrt werden, in ein elektronisch geführtes Namensverzeichnis oder elektronisch aufbewahrte geschlossene Registerblätter gilt Satz 1 entsprechend.</w:t>
      </w:r>
    </w:p>
    <w:p>
      <w:r>
        <w:rPr>
          <w:color w:val="555555"/>
          <w:sz w:val="17"/>
        </w:rPr>
        <w:t xml:space="preserve">Zitiervorschlag: § 31 VRV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https://recht.nulegal.eu/gesetze/VRV/31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