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VRV — Eintragung in das maschinell geführte Vereinsregister</w:t>
      </w:r>
    </w:p>
    <w:p>
      <w:r>
        <w:rPr>
          <w:color w:val="555555"/>
          <w:sz w:val="18"/>
        </w:rPr>
        <w:t xml:space="preserve">Vereinsregisterverordnung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Einer Eintragungsverfügung bedarf es nicht, wenn die Eintragungen in das maschinell geführte Vereinsregister von dem Rechtspfleger selbst vorgenommen werden.</w:t>
      </w:r>
    </w:p>
    <w:p>
      <w:r>
        <w:t xml:space="preserve">(2) Bei der Überprüfung nach § 55a Absatz 3 des Bürgerlichen Gesetzbuchs soll die Eintragung auch auf ihre Richtigkeit, Vollständigkeit, Verständlichkeit und auf ihre Übereinstimmung mit der Eintragungsverfügung durchgesehen werden.</w:t>
      </w:r>
    </w:p>
    <w:p>
      <w:r>
        <w:rPr>
          <w:color w:val="555555"/>
          <w:sz w:val="17"/>
        </w:rPr>
        <w:t xml:space="preserve">Zitiervorschlag: § 27 VRV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