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VRV — Registerakten, Namensverzeichnis und Handblatt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Nach Anlegung des maschinell geführten Vereinsregisters werden die Registerakten nach § 7 Absatz 1 und 2 weitergeführt. Ein Namensverzeichnis und Handblätter werden zu dem maschinell geführten Vereinsregister nicht geführt. Das Namensverzeichnis und die Handblätter zu dem in Papierform geführten Register werden geschlossen.</w:t>
      </w:r>
    </w:p>
    <w:p>
      <w:r>
        <w:t xml:space="preserve">(2) Die Handblätter können ausgesondert und vernichtet werden. Wird das Handblatt bei den Registerakten verwahrt, ist es deutlich als Handblatt des wegen Umschreibung geschlossenen Registers zu kennzeichnen.</w:t>
      </w:r>
    </w:p>
    <w:p>
      <w:r>
        <w:rPr>
          <w:color w:val="555555"/>
          <w:sz w:val="17"/>
        </w:rPr>
        <w:t xml:space="preserve">Zitiervorschlag: § 26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