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VRV — Freigabe des maschinell geführten Registerblatts</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Das nach § 23 angelegte maschinell geführte Registerblatt tritt mit seiner Freigabe an die Stelle des in Papierform geführten Registerblatts. Die Freigabe erfolgt, wenn die Vollständigkeit und Richtigkeit der Übertragung des angelegten maschinell geführten Registerblatts und seine Abrufbarkeit aus dem Datenspeicher gesichert sind.</w:t>
      </w:r>
    </w:p>
    <w:p>
      <w:r>
        <w:t xml:space="preserve">(2) In der Wiedergabe des Registerblatts auf dem Bildschirm oder bei Ausdrucken soll folgender Freigabevermerk erscheinen: "Dieses Blatt ist zur Fortführung auf EDV umgeschrieben worden und dabei an die Stelle des bisherigen Registerblatts getreten. Freigegeben am/zum ... Name(n)."</w:t>
      </w:r>
    </w:p>
    <w:p>
      <w:r>
        <w:t xml:space="preserve">(3) Die Umschreibung des Registerblattes einschließlich seiner Freigabe kann ganz oder teilweise dem Urkundsbeamten der Geschäftsstelle übertragen werden.</w:t>
      </w:r>
    </w:p>
    <w:p>
      <w:r>
        <w:rPr>
          <w:color w:val="555555"/>
          <w:sz w:val="17"/>
        </w:rPr>
        <w:t xml:space="preserve">Zitiervorschlag: § 25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