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VRV — Einsicht in das Vereinsregister</w:t>
      </w:r>
    </w:p>
    <w:p>
      <w:r>
        <w:rPr>
          <w:color w:val="555555"/>
          <w:sz w:val="18"/>
        </w:rPr>
        <w:t xml:space="preserve">Vereinsregisterverordnung</w:t>
      </w:r>
    </w:p>
    <w:p>
      <w:r>
        <w:rPr>
          <w:color w:val="555555"/>
          <w:sz w:val="18"/>
        </w:rPr>
        <w:t xml:space="preserve">Stand: 10.06.2019 (konsolidierte Textfassung, kein amtliches Inkrafttretensdatum)</w:t>
      </w:r>
    </w:p>
    <w:p>
      <w:r>
        <w:t xml:space="preserve">Das Register, die von dem Verein zum Register eingereichten Dokumente und das Namensverzeichnis sind in der Geschäftsstelle des Registergerichts während der Dienststunden zur Einsicht vorzulegen. Werden die vom Verein zum Register eingereichten Dokumente oder geschlossene Registerblätter elektronisch aufbewahrt, wird die Einsicht nach § 31 Satz 2 gewährt. Dasselbe gilt für die Einsicht in ein elektronisch geführtes Namensverzeichnis.</w:t>
      </w:r>
    </w:p>
    <w:p>
      <w:r>
        <w:rPr>
          <w:color w:val="555555"/>
          <w:sz w:val="17"/>
        </w:rPr>
        <w:t xml:space="preserve">Zitiervorschlag: § 16 VRV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https://recht.nulegal.eu/gesetze/VRV/16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