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VRV — Änderung und Löschung von Eintragungen</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Änderungen des Inhalts einer Eintragung sowie Löschungen sind unter einer neuen laufenden Nummer einzutragen. Eine Eintragung, die durch eine spätere Eintragung ihre Bedeutung verloren hat, ist rot zu unterstreichen. Die rote Unterstreichung kann dadurch ersetzt werden, daß über der ersten und unter der letzten Zeile der Eintragung oder des Vermerks ein waagerechter roter Strich gezogen wird und beide Striche durch einen von oben links nach unten rechts verlaufenden roten Schrägstrich verbunden werden; erstreckt sich eine Eintragung oder ein Vermerk auf mehr als eine Seite, so ist auf jeder Seite entsprechend zu verfahren. Mit der Eintragung selbst ist auch der Vermerk über ihre Löschung rot zu unterstreichen.</w:t>
      </w:r>
    </w:p>
    <w:p>
      <w:r>
        <w:t xml:space="preserve">(2) Ein Teil einer Eintragung darf nur rot unterstrichen oder durchkreuzt werden, wenn die Verständlichkeit der Eintragung und des aktuellen Ausdrucks nach § 32 Abs. 3 nicht beeinträchtigt wird.</w:t>
      </w:r>
    </w:p>
    <w:p>
      <w:r>
        <w:t xml:space="preserve">(3) Soll eine Eintragung von Amts wegen gelöscht werden, weil sie mangels einer wesentlichen Voraussetzung unzulässig war, so erfolgt die Löschung durch Eintragung des Vermerks "Von Amts wegen gelöscht".</w:t>
      </w:r>
    </w:p>
    <w:p>
      <w:r>
        <w:rPr>
          <w:color w:val="555555"/>
          <w:sz w:val="17"/>
        </w:rPr>
        <w:t xml:space="preserve">Zitiervorschlag: § 11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