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VRG — Insolvenzsicherung</w:t>
      </w:r>
    </w:p>
    <w:p>
      <w:r>
        <w:rPr>
          <w:color w:val="555555"/>
          <w:sz w:val="18"/>
        </w:rPr>
        <w:t xml:space="preserve">Vorruhestandsgesetz</w:t>
      </w:r>
    </w:p>
    <w:p>
      <w:r>
        <w:rPr>
          <w:color w:val="555555"/>
          <w:sz w:val="18"/>
        </w:rPr>
        <w:t xml:space="preserve">Stand: 10.06.2019 (konsolidierte Textfassung, kein amtliches Inkrafttretensdatum)</w:t>
      </w:r>
    </w:p>
    <w:p>
      <w:r>
        <w:t xml:space="preserve">(1) Soweit der Arbeitgeber seine Verpflichtung zur Zahlung von Vorruhestandsgeld nicht erfüllt und der Arbeitnehmer auf Grund tarifvertraglicher Vereinbarungen für den Fall der Zahlungseinstellung durch den Arbeitgeber nicht geschützt ist, gewährt die Bundesanstalt Vorruhestandsgeld wie ein Arbeitgeber, wenn</w:t>
      </w:r>
    </w:p>
    <w:p>
      <w:pPr>
        <w:ind w:left="420"/>
      </w:pPr>
      <w:r>
        <w:t xml:space="preserve">1. über das Vermögen des Arbeitgebers oder über seinen Nachlaß das Insolvenzverfahren eröffnet worden ist, oder</w:t>
      </w:r>
    </w:p>
    <w:p>
      <w:pPr>
        <w:ind w:left="420"/>
      </w:pPr>
      <w:r>
        <w:t xml:space="preserve">2. der Antrag auf Eröffnung des Insolvenzverfahrens über das Vermögen des Arbeitgebers oder über seinen Nachlaß mangels Masse abgewiesen worden ist, oder</w:t>
      </w:r>
    </w:p>
    <w:p>
      <w:pPr>
        <w:ind w:left="420"/>
      </w:pPr>
      <w:r>
        <w:t xml:space="preserve">3. der Arbeitgeber mit seinen Gläubigern zur Abwendung eines Insolvenzverfahrens einen außergerichtlichen Vergleich schließt und die Bundesanstalt dem Vergleich zustimmt.</w:t>
      </w:r>
    </w:p>
    <w:p>
      <w:r>
        <w:t xml:space="preserve">Vorruhestandsgeld nach Satz 1 ist auch zu gewähren, soweit die Durchsetzung des Anspruchs gegen den Arbeitgeber für den Arbeitnehmer unzumutbar ist. Die Durchsetzung des Anspruchs ist insbesondere dann unzumutbar, wenn der Arbeitgeber die Zahlung des Vorruhestandsgeldes wegen wirtschaftlicher Notlage eingestellt hat.</w:t>
      </w:r>
    </w:p>
    <w:p>
      <w:r>
        <w:t xml:space="preserve">(2) Die Leistung nach Absatz 1 wird in Höhe des Vorruhestandsgeldes nach § 3 Abs. 1 Nr. 1 gewährt. § 4 gilt entsprechend.</w:t>
      </w:r>
    </w:p>
    <w:p>
      <w:r>
        <w:t xml:space="preserve">(3) Der Anspruch des Arbeitnehmers auf Vorruhestandsgeld gegen den Arbeitgeber geht auf die Bundesanstalt über, soweit diese nach Absatz 1 Vorruhestandsgeld zu leisten hat. Der Arbeitgeber hat der Bundesanstalt die Beiträge zur gesetzlichen Kranken- und Rentenversicherung zu erstatten, die sie nach Absatz 1 getragen hat.</w:t>
      </w:r>
    </w:p>
    <w:p>
      <w:r>
        <w:t xml:space="preserve">(4) Die §§ 141k und 141l des Arbeitsförderungsgesetzes gelten entsprechend.</w:t>
      </w:r>
    </w:p>
    <w:p>
      <w:r>
        <w:rPr>
          <w:color w:val="555555"/>
          <w:sz w:val="17"/>
        </w:rPr>
        <w:t xml:space="preserve">Zitiervorschlag: § 9 VRG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