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VRG — Nebentätigkeit</w:t>
      </w:r>
    </w:p>
    <w:p>
      <w:r>
        <w:rPr>
          <w:color w:val="555555"/>
          <w:sz w:val="18"/>
        </w:rPr>
        <w:t xml:space="preserve">Vorruhestandsgesetz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Anspruch auf den Zuschuß</w:t>
      </w:r>
    </w:p>
    <w:p>
      <w:pPr>
        <w:ind w:left="420"/>
      </w:pPr>
      <w:r>
        <w:t xml:space="preserve">1. ruht während der Zeit, in der der ausgeschiedene Arbeitnehmer Beschäftigungen oder selbständige Tätigkeiten ausübt, die die Geringfügigkeitsgrenze des § 8 des Vierten Buches Sozialgesetzbuch überschreiten oder auf Grund solcher Beschäftigungen Verletztengeld erhält; die Grenze hinsichtlich des Sechstels des Gesamteinkommens ist dabei nicht anzuwenden,</w:t>
      </w:r>
    </w:p>
    <w:p>
      <w:pPr>
        <w:ind w:left="420"/>
      </w:pPr>
      <w:r>
        <w:t xml:space="preserve">2. erlischt, wenn der Anspruch nach Nummer 1 mindestens 150 Kalendertage geruht hat. Dabei sind mehrere Ruhenszeiträume zusammenzurechnen.</w:t>
      </w:r>
    </w:p>
    <w:p>
      <w:r>
        <w:t xml:space="preserve">(2) Beschäftigungen oder selbständige Tätigkeiten bleiben bei der Anwendung des Absatzes 1 unberücksichtigt, soweit der ausgeschiedene Arbeitnehmer sie auch schon innerhalb der letzten fünf Jahre vor Beginn der Vorruhestandsleistungen ständig neben einer mehr als geringfügigen Beschäftigung im Sinne des § 8 des Vierten Buches Sozialgesetzbuch ausgeübt hat.</w:t>
      </w:r>
    </w:p>
    <w:p>
      <w:r>
        <w:t xml:space="preserve">(3) § 48 Abs. 1 Nr. 3 des Zehnten Buches Sozialgesetzbuch findet keine Anwendung.</w:t>
      </w:r>
    </w:p>
    <w:p>
      <w:r>
        <w:t xml:space="preserve">(4) Ruht oder erlischt nach Absatz 1 der Anspruch auf den Zuschuß, entfällt der Anspruch auf Vorruhestandsgeld in Höhe des wegfallenden Zuschusses.</w:t>
      </w:r>
    </w:p>
    <w:p>
      <w:r>
        <w:rPr>
          <w:color w:val="555555"/>
          <w:sz w:val="17"/>
        </w:rPr>
        <w:t xml:space="preserve">Zitiervorschlag: § 6 VRG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https://recht.nulegal.eu/gesetze/VRG/6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