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VRG — Dynamisierung des Zuschusses</w:t>
      </w:r>
    </w:p>
    <w:p>
      <w:r>
        <w:rPr>
          <w:color w:val="555555"/>
          <w:sz w:val="18"/>
        </w:rPr>
        <w:t xml:space="preserve">Vorruhestandsgesetz</w:t>
      </w:r>
    </w:p>
    <w:p>
      <w:r>
        <w:rPr>
          <w:color w:val="555555"/>
          <w:sz w:val="18"/>
        </w:rPr>
        <w:t xml:space="preserve">Stand: 10.06.2019 (konsolidierte Textfassung, kein amtliches Inkrafttretensdatum)</w:t>
      </w:r>
    </w:p>
    <w:p>
      <w:r>
        <w:t xml:space="preserve">Der Zuschuß zu den Aufwendungen des Arbeitgebers erhöht sich jeweils nach Ablauf eines Jahres seit Beginn der Zahlung des Vorruhestandsgeldes nach Maßgabe der Veränderung der Bruttolohn- und -gehaltssumme je durchschnittlich beschäftigten Arbeitnehmer, die der Feststellung des aktuellen Rentenwerts nach dem Sechsten Buch Sozialgesetzbuch zugrunde liegt. Der Zuschuß wird höchstens um den Vomhundertsatz angehoben, um den der Arbeitgeber das Vorruhestandsgeld erhöht hat.</w:t>
      </w:r>
    </w:p>
    <w:p>
      <w:r>
        <w:rPr>
          <w:color w:val="555555"/>
          <w:sz w:val="17"/>
        </w:rPr>
        <w:t xml:space="preserve">Zitiervorschlag: § 4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