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VRG — Berlin-Klausel</w:t>
      </w:r>
    </w:p>
    <w:p>
      <w:r>
        <w:rPr>
          <w:color w:val="555555"/>
          <w:sz w:val="18"/>
        </w:rPr>
        <w:t xml:space="preserve">Vorruhestandsgesetz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und des § 13 Abs. 1 des Dritten Überleitungsgesetzes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15 VRG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