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VRG — Bußgeldvorschriften</w:t>
      </w:r>
    </w:p>
    <w:p>
      <w:r>
        <w:rPr>
          <w:color w:val="555555"/>
          <w:sz w:val="18"/>
        </w:rPr>
        <w:t xml:space="preserve">Vorruhestandsgesetz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 entgegen § 60 Abs. 1 Nr. 2 des Ersten Buches Sozialgesetzbuch eine Änderung in den Verhältnissen, die für den Anspruch auf den Zuschuß zu den Aufwendungen für Vorruhestandsleistungen oder für den Anspruch auf Vorruhestandsgeld nach § 9 Abs. 1 erheblich sind, dem Arbeitsamt nicht, nicht richtig, nicht vollständig oder nicht rechtzeitig mitteilt. Die Ordnungswidrigkeit kann mit einer Geldbuße bis zu fünftausend Deutsche Mark geahndet werden.</w:t>
      </w:r>
    </w:p>
    <w:p>
      <w:r>
        <w:t xml:space="preserve">(2) Verwaltungsbehörden im Sinne des § 36 Abs. 1 Nr. 1 des Gesetzes über Ordnungswidrigkeiten sind die Arbeitsämter.</w:t>
      </w:r>
    </w:p>
    <w:p>
      <w:r>
        <w:t xml:space="preserve">(3) Die Geldbußen fließen in die Kasse der zuständigen Verwaltungsbehörden. § 66 des Zehnten Buches Sozialgesetzbuch gilt entsprechend.</w:t>
      </w:r>
    </w:p>
    <w:p>
      <w:r>
        <w:t xml:space="preserve">(4) Die notwendigen Auslagen trägt abweichend von § 105 Abs. 2 des Gesetzes über Ordnungswidrigkeiten die zuständige Verwaltungsbehörde; diese ist auch ersatzpflichtig im Sinne des § 110 Abs. 4 des Gesetzes über Ordnungswidrigkeiten.</w:t>
      </w:r>
    </w:p>
    <w:p>
      <w:r>
        <w:rPr>
          <w:color w:val="555555"/>
          <w:sz w:val="17"/>
        </w:rPr>
        <w:t xml:space="preserve">Zitiervorschlag: § 13 VRG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