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VRG — Steuerliche Regelungen</w:t>
      </w:r>
    </w:p>
    <w:p>
      <w:r>
        <w:rPr>
          <w:color w:val="555555"/>
          <w:sz w:val="18"/>
        </w:rPr>
        <w:t xml:space="preserve">Vorruhestandsgesetz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Anwendung des § 28 des Berlinförderungsgesetzes gilt der Bezug von Vorruhestandsgeld als Arbeitslohn aus einem gegenwärtigen Dienstverhältnis, wenn im Zeitpunkt der Zahlung</w:t>
      </w:r>
    </w:p>
    <w:p>
      <w:pPr>
        <w:ind w:left="420"/>
      </w:pPr>
      <w:r>
        <w:t xml:space="preserve">1. die Voraussetzungen für die Gewährung des Zuschusses im Sinne des § 1 mit Ausnahme der in § 2 Abs. 1 Nr. 5 und § 11 genannten Voraussetzungen vorliegen und</w:t>
      </w:r>
    </w:p>
    <w:p>
      <w:pPr>
        <w:ind w:left="420"/>
      </w:pPr>
      <w:r>
        <w:t xml:space="preserve">2. der Empfänger die Wohnsitzvoraussetzungen des § 21 Abs. 1 Nr. 1 bis 3 des Berlinförderungsgesetzes erfüllt und sie auch bei Beendigung der Erwerbstätigkeit erfüllt hat.</w:t>
      </w:r>
    </w:p>
    <w:p>
      <w:r>
        <w:t xml:space="preserve">(2) Für die Erhebung der Lohnsteuer gelten in den Fällen des § 8 die gemeinsame Einrichtung und die Ausgleichskasse der Arbeitgeber sowie in den Fällen des § 9 die Bundesanstalt als Arbeitgeber und der Leistungsempfänger als Arbeitnehmer.</w:t>
      </w:r>
    </w:p>
    <w:p>
      <w:r>
        <w:t xml:space="preserve">(3) Einrichtungen im Sinne des § 8 sind, soweit sie die in dieser Vorschrift bezeichneten Aufgaben erfüllen, von der Körperschaftsteuer, Gewerbesteuer und Vermögensteuer befreit.</w:t>
      </w:r>
    </w:p>
    <w:p>
      <w:r>
        <w:rPr>
          <w:color w:val="555555"/>
          <w:sz w:val="17"/>
        </w:rPr>
        <w:t xml:space="preserve">Zitiervorschlag: § 12 VRG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https://recht.nulegal.eu/gesetze/VRG/12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