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VRG — Verfahren</w:t>
      </w:r>
    </w:p>
    <w:p>
      <w:r>
        <w:rPr>
          <w:color w:val="555555"/>
          <w:sz w:val="18"/>
        </w:rPr>
        <w:t xml:space="preserve">Vorruhestandsgesetz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Zuschuß zu den Vorruhestandsleistungen und das Vorruhestandsgeld nach § 9 Abs. 1 werden auf Antrag gewährt. Der Antrag ist schriftlich beim zuständigen Arbeitsamt zu stellen.</w:t>
      </w:r>
    </w:p>
    <w:p>
      <w:r>
        <w:t xml:space="preserve">(2) Bei der Durchführung des § 9 ist § 141g des Arbeitsförderungsgesetzes entsprechend anzuwenden.</w:t>
      </w:r>
    </w:p>
    <w:p>
      <w:r>
        <w:t xml:space="preserve">(3) Die Bundesanstalt bestimmt durch Anordnung das Nähere über das Verfahren; sie kann hierin auch die Beteiligung der Verwaltungsausschüsse vorsehen. § 191 Abs. 3 und 4 des Arbeitsförderungsgesetzes gilt entsprechend. Unter den Voraussetzungen des § 191 Abs. 5 des Arbeitsförderungsgesetzes kann der Bundesminister für Arbeit und Sozialordnung anstelle der in Satz 1 vorgesehenen Anordnung der Bundesanstalt durch Rechtsverordnung, die nicht der Zustimmung des Bundesrates bedarf, das Nähere über das Verfahren bestimmen.</w:t>
      </w:r>
    </w:p>
    <w:p>
      <w:r>
        <w:rPr>
          <w:color w:val="555555"/>
          <w:sz w:val="17"/>
        </w:rPr>
        <w:t xml:space="preserve">Zitiervorschlag: § 11 VRG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https://recht.nulegal.eu/gesetze/VRG/11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