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VPSW (Bayern) — Inkrafttreten, Übergangsbestimmung</w:t>
      </w:r>
    </w:p>
    <w:p>
      <w:r>
        <w:rPr>
          <w:color w:val="555555"/>
          <w:sz w:val="18"/>
        </w:rPr>
        <w:t xml:space="preserve">Sachverständigenverordnung 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2011 in Kraft.</w:t>
      </w:r>
    </w:p>
    <w:p>
      <w:r>
        <w:t xml:space="preserve">(2) Für Sachverständige, die für die Erstellung von Gutachten nach § 1 Nr. 1 Buchst. c der Verordnung über private Sachverständige in der Wasserwirtschaft (VPSW) vom 10. August 1994 (GVBl S. 885, BayRS 753-1-14-UG), zuletzt geändert durch Verordnung vom 3. Dezember 2009 (GVBl S. 622), in der bis zum 31. März 2007 geltenden Fassung anerkannt sind, gelten die sich danach ergebenden fachlichen Anerkennungsvoraussetzungen weiter; § 5 Abs. 2 der genannten Verordnung bleibt unberührt.</w:t>
      </w:r>
    </w:p>
    <w:p>
      <w:r>
        <w:rPr>
          <w:color w:val="555555"/>
          <w:sz w:val="17"/>
        </w:rPr>
        <w:t xml:space="preserve">Zitiervorschlag: § 9 VPSW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https://recht.nulegal.eu/gesetze/VPSW/9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