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VPSW (Bayern) — Tätigkeitsverzeichnis</w:t>
      </w:r>
    </w:p>
    <w:p>
      <w:r>
        <w:rPr>
          <w:color w:val="555555"/>
          <w:sz w:val="18"/>
        </w:rPr>
        <w:t xml:space="preserve">Sachverständigenverordnung Wasser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Über alle durchgeführten Tätigkeiten nach § 1 haben die anerkannten privaten Sachverständigen ein Verzeichnis zu führen. Das Verzeichnis ist zehn Jahre aufzubewahren und auf Verlangen dem Landesamt vorzulegen.</w:t>
      </w:r>
    </w:p>
    <w:p>
      <w:r>
        <w:rPr>
          <w:color w:val="555555"/>
          <w:sz w:val="17"/>
        </w:rPr>
        <w:t xml:space="preserve">Zitiervorschlag: § 7 VPSW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https://recht.nulegal.eu/gesetze/VPSW/7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