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VPSW (Bayern) — Erlöschen, Widerruf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erlischt</w:t>
      </w:r>
    </w:p>
    <w:p>
      <w:r>
        <w:t xml:space="preserve">1. einen Monat nach Eingang der Anzeige des Versicherers beim Landesamt über den Wegfall oder das Unterschreiten der Deckungssumme der nach § 3 Abs. 2 Nr. 1 erforderlichen Haftpflichtversicherung,</w:t>
      </w:r>
    </w:p>
    <w:p>
      <w:r>
        <w:t xml:space="preserve">2. bei Verzicht gegenüber dem Landesamt; der Verzicht ist in Textform zu erklären und auf Verlangen des Landesamts schriftlich zu bestätigen.</w:t>
      </w:r>
    </w:p>
    <w:p>
      <w:r>
        <w:t xml:space="preserve">(2) Unbeschadet von Art. 49 Abs. 2 Satz 1 Nr. 2 bis 5 BayVwVfG kann die Anerkennung widerrufen werden, wenn der Sachverständige</w:t>
      </w:r>
    </w:p>
    <w:p>
      <w:r>
        <w:t xml:space="preserve">1. infolge geistiger oder körperlicher Gebrechen nicht mehr in der Lage ist, seine Tätigkeit ordnungsgemäß auszuüben,</w:t>
      </w:r>
    </w:p>
    <w:p>
      <w:r>
        <w:t xml:space="preserve">2. Aufgaben im Sinn des § 1 mangelhaft erfüllt oder gegen die Pflichten nach den §§ 6, 7 oder § 8 Abs. 2 Satz 2 verstoßen hat oder</w:t>
      </w:r>
    </w:p>
    <w:p>
      <w:r>
        <w:t xml:space="preserve">3. wenn der Sachverständige die Voraussetzungen des § 3 nicht mehr erfüllt.</w:t>
      </w:r>
    </w:p>
    <w:p>
      <w:r>
        <w:t xml:space="preserve">Der Widerruf kann sich auf einzelne Anerkennungsbereiche sowie selbständig abgrenzbare Teilbereiche nach § 1 beschränken.</w:t>
      </w:r>
    </w:p>
    <w:p>
      <w:r>
        <w:rPr>
          <w:color w:val="555555"/>
          <w:sz w:val="17"/>
        </w:rPr>
        <w:t xml:space="preserve">Zitiervorschlag: § 5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