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VOQualiA StAV (Nordrhein-Westfalen) — Voraussetzungen und Zulassung</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den Arbeitsschutz zuständige Ministerium, im Folgenden Ministerium, entscheidet, ob und in welchem Umfang es die Möglichkeit eines Aufstiegs durch Qualifizierung eröffnet und hierdurch die Qualifizierung im Rahmen der Personalentwicklung und -förderung nach dem Landesbeamtengesetz vom 14. Juni 2016 (GV. NRW. S. 310, ber. S. 642), in der jeweils geltenden Fassung, sicherstellt.</w:t>
      </w:r>
    </w:p>
    <w:p>
      <w:r>
        <w:t xml:space="preserve">(2) Die Zugangsvoraussetzungen regelt § 21 Absatz 1 Satz 1 Nummer 1 der Laufbahnverordnung vom 21. Juni 2016 (GV. NRW. S. 461) in der jeweils geltenden Fassung. Das weitere Auswahlverfahren nach § 21 Absatz 4 der Laufbahnverordnung regelt das Ministerium durch Verwaltungsvorschrift. Es regelt auch die Entscheidung über die Zulassung zur Qualifizierung.</w:t>
      </w:r>
    </w:p>
    <w:p>
      <w:r>
        <w:rPr>
          <w:color w:val="555555"/>
          <w:sz w:val="17"/>
        </w:rPr>
        <w:t xml:space="preserve">Zitiervorschlag: § 2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