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VOQualiA StAV (Nordrhein-Westfalen) — Ziel des Qualifizierungsaufstiegs</w:t>
      </w:r>
    </w:p>
    <w:p>
      <w:r>
        <w:rPr>
          <w:color w:val="555555"/>
          <w:sz w:val="18"/>
        </w:rPr>
        <w:t xml:space="preserve">Verordnung Qualifizierungsaufstieg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Qualifizierungsaufstiegs ist es, geeignete Beamtinnen und Beamte der Ämtergruppe des zweiten Einstiegsamtes der Laufbahngruppe 1 des technischen Dienstes der Staatlichen Arbeitsschutzverwaltung umfassend zu qualifizieren und in die Aufgaben der Laufbahn der Ämtergruppe des ersten Einstiegsamtes der Laufbahngruppe 2 des technischen Dienstes der Staatlichen Arbeitsschutzverwaltung einzuführen.</w:t>
      </w:r>
    </w:p>
    <w:p>
      <w:r>
        <w:rPr>
          <w:color w:val="555555"/>
          <w:sz w:val="17"/>
        </w:rPr>
        <w:t xml:space="preserve">Zitiervorschlag: § 1 VOQualiA StAV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https://recht.nulegal.eu/gesetze/VOQualiA%20StAV/1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