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VOErmPStA (Sachsen)</w:t>
      </w:r>
    </w:p>
    <w:p>
      <w:r>
        <w:rPr>
          <w:color w:val="555555"/>
          <w:sz w:val="18"/>
        </w:rPr>
        <w:t xml:space="preserve">VO Ermittlungspersonen Staatsanwaltschaft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 152 Abs. 2 Satz 1 des Gerichtsverfassungsgesetzes ( GVG ) in der Fassung der Bekanntmachung vom 9. Mai 1975 (BGBl. I S. 1077), das zuletzt durch Artikel 15c des Gesetzes vom 22. März 2005 (BGBl. I S. 837, 857) geändert worden ist, in Verbindung mit § 1 Abs. 1 Nr. 18 der Verordnung der Sächsischen Staatsregierung über die Übertragung von Zuständigkeiten zum Erlass von Rechtsverordnungen im Bereich der Rechtspflege auf das Sächsische Staatsministerium der Justiz (Zuständigkeitsübertragungsverordnung Justiz – ZustÜVJu ) vom 10. Dezember 2004 (SächsGVBl. S. 582), wird verordnet:</w:t>
      </w:r>
    </w:p>
    <w:p>
      <w:r>
        <w:rPr>
          <w:color w:val="555555"/>
          <w:sz w:val="17"/>
        </w:rPr>
        <w:t xml:space="preserve">Zitiervorschlag: Eingangsformel VOErmPStA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https://recht.nulegal.eu/gesetze/VOErmPStA/eingangsformel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