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VOErmPStA (Sachsen) — In-Kraft-Treten und Außer-Kraft-Treten</w:t>
      </w:r>
    </w:p>
    <w:p>
      <w:r>
        <w:rPr>
          <w:color w:val="555555"/>
          <w:sz w:val="18"/>
        </w:rPr>
        <w:t xml:space="preserve">VO Ermittlungspersonen Staatsanwaltschaft</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des Sächsischen Staatsministeriums der Justiz über die Hilfsbeamten der Staatsanwaltschaft vom 26. März 1996 (SächsGVBl. S. 158) außer Kraft.</w:t>
      </w:r>
    </w:p>
    <w:p>
      <w:r>
        <w:t xml:space="preserve">Dresden, den 5. April 2005</w:t>
      </w:r>
    </w:p>
    <w:p>
      <w:r>
        <w:t xml:space="preserve">Der Staatsminister der Justiz</w:t>
      </w:r>
    </w:p>
    <w:p>
      <w:r>
        <w:t xml:space="preserve">Geert Mackenroth</w:t>
      </w:r>
    </w:p>
    <w:p>
      <w:r>
        <w:rPr>
          <w:color w:val="555555"/>
          <w:sz w:val="17"/>
        </w:rPr>
        <w:t xml:space="preserve">Zitiervorschlag: § 3 VOErmPStA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https://recht.nulegal.eu/gesetze/VOErmPStA/3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