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VOErmPStA (Sachsen) — Bestellung durch Gesetz</w:t>
      </w:r>
    </w:p>
    <w:p>
      <w:r>
        <w:rPr>
          <w:color w:val="555555"/>
          <w:sz w:val="18"/>
        </w:rPr>
        <w:t xml:space="preserve">VO Ermittlungspersonen Staatsanwaltschaft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Bestellung zu Ermittlungspersonen der Staatsanwaltschaft durch Gesetz bleibt unberührt.</w:t>
      </w:r>
    </w:p>
    <w:p>
      <w:r>
        <w:rPr>
          <w:color w:val="555555"/>
          <w:sz w:val="17"/>
        </w:rPr>
        <w:t xml:space="preserve">Zitiervorschlag: § 2 VOErmPStA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https://recht.nulegal.eu/gesetze/VOErmPStA/2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