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VO-_ERMPERSSTAV (Brandenburg) — Staatsanwaltschaften des Landes</w:t>
      </w:r>
    </w:p>
    <w:p>
      <w:r>
        <w:rPr>
          <w:color w:val="555555"/>
          <w:sz w:val="18"/>
        </w:rPr>
        <w:t xml:space="preserve">Verordnung über die Ermittlungspersonen der Staatsanwaltschaft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Bei den Staatsanwaltschaften des Landes sind Wirtschaftskräfte Ermittlungspersonen der Staatsanwaltschaft, sofern sie</w:t>
      </w:r>
    </w:p>
    <w:p>
      <w:r>
        <w:t xml:space="preserve">sich mindestens in der Besoldungsgruppe A 11 befinden oder</w:t>
      </w:r>
    </w:p>
    <w:p>
      <w:r>
        <w:t xml:space="preserve">als Tarifbeschäftigte einer vergleichbaren Entgeltgruppe angehören und mindestens zwei Jahre in einer der in dieser Verordnung bezeichneten Beamten- oder Tarifbeschäftigtengruppen tätig gewesen sind.</w:t>
      </w:r>
    </w:p>
    <w:p>
      <w:r>
        <w:rPr>
          <w:color w:val="555555"/>
          <w:sz w:val="17"/>
        </w:rPr>
        <w:t xml:space="preserve">Zitiervorschlag: § 7 VO-_ERMPERSSTAV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https://recht.nulegal.eu/gesetze/VO-_ERMPERSSTAV/7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