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VO-_ERMPERSSTAV (Brandenburg) — Anwendungsbereich</w:t>
      </w:r>
    </w:p>
    <w:p>
      <w:r>
        <w:rPr>
          <w:color w:val="555555"/>
          <w:sz w:val="18"/>
        </w:rPr>
        <w:t xml:space="preserve">Verordnung über die Ermittlungspersonen der Staatsanwaltschaft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Diese Rechtsverordnung regelt, wer Ermittlungsperson der Staatsanwaltschaft im Sinne des § 152 des Gerichtsverfassungsgesetzes ist.</w:t>
      </w:r>
    </w:p>
    <w:p>
      <w:r>
        <w:t xml:space="preserve">(2) Unberührt bleibt die Bestellung zu Ermittlungspersonen der Staatsanwaltschaft kraft Gesetzes.</w:t>
      </w:r>
    </w:p>
    <w:p>
      <w:r>
        <w:rPr>
          <w:color w:val="555555"/>
          <w:sz w:val="17"/>
        </w:rPr>
        <w:t xml:space="preserve">Zitiervorschlag: § 1 VO-_ERMPERSSTAV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https://recht.nulegal.eu/gesetze/VO-_ERMPERSSTAV/1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