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VO-ZUSTVBESCHVUSTG (Brandenburg) — Inkrafttreten, Außerkrafttreten</w:t>
      </w:r>
    </w:p>
    <w:p>
      <w:r>
        <w:rPr>
          <w:color w:val="555555"/>
          <w:sz w:val="18"/>
        </w:rPr>
        <w:t xml:space="preserve">Verordnung zur Zuständigkeitsregelung im Bescheinigungsverfahren nach dem Umsatzsteuergesetz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Verordnung zur Zuständigkeitsregelung im Bescheinigungsverfahren nach dem Umsatzsteuergesetz vom 29. Juni 2017 ( GVBl. II Nr. 34) außer Kraft.</w:t>
      </w:r>
    </w:p>
    <w:p>
      <w:r>
        <w:t xml:space="preserve">Potsdam, den 13. Juli 2022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der Finanzen und für Europa</w:t>
      </w:r>
    </w:p>
    <w:p>
      <w:r>
        <w:t xml:space="preserve">Katrin Lange</w:t>
      </w:r>
    </w:p>
    <w:p>
      <w:r>
        <w:rPr>
          <w:color w:val="555555"/>
          <w:sz w:val="17"/>
        </w:rPr>
        <w:t xml:space="preserve">Zitiervorschlag: § 2 VO-ZUSTVBESCHVUSTG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https://recht.nulegal.eu/gesetze/VO-ZUSTVBESCHVUSTG/2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