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VO-WSG_ERKNER (Brandenburg) — Sicherung und Kennzeichnung des Wasserschutzgebietes</w:t>
      </w:r>
    </w:p>
    <w:p>
      <w:r>
        <w:rPr>
          <w:color w:val="555555"/>
          <w:sz w:val="18"/>
        </w:rPr>
        <w:t xml:space="preserve">Verordnung zur Festsetzung des Wasserschutzgebietes für das Wasserwerk Erkner, Wasserfassungen Neu Zittauer und Hohenbinder Straße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Zone I ist vom Begünstigten auf Anordnung der unteren Wasserbehörde gegen unbefugtes Betreten, zum Beispiel durch eine Umzäunung, zu sichern.</w:t>
      </w:r>
    </w:p>
    <w:p>
      <w:r>
        <w:t xml:space="preserve">(2) Der Begünstigte hat auf Anordnung der unteren Wasserbehörde zur Kennzeichnung des Wasserschutzgebietes im Bereich öffentlicher Verkehrsflächen bei der Straßenverkehrsbehörde die Anordnung des Richtzeichens 354 und des Vorschriftzeichens 269 zu beantragen und im Bereich nicht öffentlicher Flächen in Abstimmung mit der Gemeinde nicht amtliche Hinweiszeichen aufzustellen.</w:t>
      </w:r>
    </w:p>
    <w:p>
      <w:r>
        <w:t xml:space="preserve">Einzelnorm</w:t>
      </w:r>
    </w:p>
    <w:p>
      <w:r>
        <w:rPr>
          <w:color w:val="555555"/>
          <w:sz w:val="17"/>
        </w:rPr>
        <w:t xml:space="preserve">Zitiervorschlag: § 9 VO-WSG_ERKNER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https://recht.nulegal.eu/gesetze/VO-WSG_ERKNER/9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