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VO-WSG_ERKNER (Brandenburg) — Schutz der Zone I</w:t>
      </w:r>
    </w:p>
    <w:p>
      <w:r>
        <w:rPr>
          <w:color w:val="555555"/>
          <w:sz w:val="18"/>
        </w:rPr>
        <w:t xml:space="preserve">Verordnung zur Festsetzung des Wasserschutzgebietes für das Wasserwerk Erkner, Wasserfassungen Neu Zittauer und Hohenbinder Straße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Verbote der Zonen III B, III A und II gelten auch in der Zone I. In der Zone I sind außerdem verboten:</w:t>
      </w:r>
    </w:p>
    <w:p>
      <w:r>
        <w:t xml:space="preserve">das Betreten oder Befahren,</w:t>
      </w:r>
    </w:p>
    <w:p>
      <w:r>
        <w:t xml:space="preserve">landwirtschaft-, forstwirtschaft- oder gartenbauliche Nutzung,</w:t>
      </w:r>
    </w:p>
    <w:p>
      <w:r>
        <w:t xml:space="preserve">Veränderungen oder Aufschlüsse der Erdoberfläche.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6 VO-WSG_ERKNER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https://recht.nulegal.eu/gesetze/VO-WSG_ERKNER/6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