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VO-WSG_ERKNER (Brandenburg) — Geltendmachung der Verletzung von Vorschriften</w:t>
      </w:r>
    </w:p>
    <w:p>
      <w:r>
        <w:rPr>
          <w:color w:val="555555"/>
          <w:sz w:val="18"/>
        </w:rPr>
        <w:t xml:space="preserve">Verordnung zur Festsetzung des Wasserschutzgebietes für das Wasserwerk Erkner, Wasserfassungen Neu Zittauer und Hohenbinder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16 Absatz 1 und 3 des Brandenburgischen Wassergesetzes genannten Verfahrens- und Formvorschriften ist unbeachtlich, wenn sie nicht schriftlich unter Angabe der verletzten Rechtsvorschrift und des Sachverhalts, der die Verletzung begründen soll, innerhalb eines Jahres nach Inkrafttreten der Rechtsverordnung gegenüber dem Verordnungsgeber geltend gemacht worden ist. Mängel im Abwägungsvorgang sind nur dann beachtlich, wenn sie offensichtlich und auf das Abwägungsergebnis von Einfluss gewesen sind und die Mängel in der Abwägung innerhalb von vier Jahren nach Inkrafttreten der Rechtsverordnung unter den in Satz 1 genannten Voraussetzungen geltend gemacht worden sind.</w:t>
      </w:r>
    </w:p>
    <w:p>
      <w:r>
        <w:t xml:space="preserve">Einzelnorm</w:t>
      </w:r>
    </w:p>
    <w:p>
      <w:r>
        <w:rPr>
          <w:color w:val="555555"/>
          <w:sz w:val="17"/>
        </w:rPr>
        <w:t xml:space="preserve">Zitiervorschlag: § 13 VO-WSG_ERKNER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https://recht.nulegal.eu/gesetze/VO-WSG_ERKNER/13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