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VO-WSG_ERKNER (Brandenburg) — Ordnungswidrigkeiten</w:t>
      </w:r>
    </w:p>
    <w:p>
      <w:r>
        <w:rPr>
          <w:color w:val="555555"/>
          <w:sz w:val="18"/>
        </w:rPr>
        <w:t xml:space="preserve">Verordnung zur Festsetzung des Wasserschutzgebietes für das Wasserwerk Erkner, Wasserfassungen Neu Zittauer und Hohenbinder Straße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103 Absatz 1 Nummer 7a des Wasserhaushaltsgesetzes handelt, wer vorsätzlich oder fahrlässig eine nach den §§ 3, 4, 5 oder 6 verbotene Handlung ohne eine Befreiung gemäß § 52 Absatz 1 Satz 2 des Wasserhaushaltsgesetzes vornimmt, ausgenommen das Verbot nach § 5 Nummer 16.</w:t>
      </w:r>
    </w:p>
    <w:p>
      <w:r>
        <w:t xml:space="preserve">(2) Die Ordnungswidrigkeit kann mit einer Geldbuße bis zu fünfzigtausend Euro geahndet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12 VO-WSG_ERKNER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https://recht.nulegal.eu/gesetze/VO-WSG_ERKNER/12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