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VO-WSGKYRITZ (Brandenburg) — Widerruf von Befreiungen</w:t>
      </w:r>
    </w:p>
    <w:p>
      <w:r>
        <w:rPr>
          <w:color w:val="555555"/>
          <w:sz w:val="18"/>
        </w:rPr>
        <w:t xml:space="preserve">Verordnung zur Festsetzung des Wasserschutzgebietes Kyritz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Befreiungen nach § 52 Absatz 1 Satz 2 des Wasserhaushaltsgesetzes sind widerruflich und bedürfen der Schriftform. Abweichend von Satz 1 ist eine Befreiung von den Verboten gemäß § 3 Nummer 56 und § 4 Nummer 14 und 15 nicht widerruflich.</w:t>
      </w:r>
    </w:p>
    <w:p>
      <w:r>
        <w:t xml:space="preserve">(2) Im Fall des Widerrufs einer Befreiung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VO-WSGKYRITZ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https://recht.nulegal.eu/gesetze/VO-WSGKYRITZ/8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