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VO-WSGKYRITZ (Brandenburg) — Übergangsregelung</w:t>
      </w:r>
    </w:p>
    <w:p>
      <w:r>
        <w:rPr>
          <w:color w:val="555555"/>
          <w:sz w:val="18"/>
        </w:rPr>
        <w:t xml:space="preserve">Verordnung zur Festsetzung des Wasserschutzgebietes Kyritz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bei Inkrafttreten dieser Verordnung errichtete und betriebene Anlagen gelten die Verbote des Betreibens gemäß § 3 Nummer 3, 4 und 7 sowie § 4 Nummer 1 nach einem Jahr nach Inkrafttreten dieser Verordnung.</w:t>
      </w:r>
    </w:p>
    <w:p>
      <w:r>
        <w:t xml:space="preserve">(2) Für bei Inkrafttreten dieser Verordnung bestehende Einleitungen oder Versickerungen von Niederschlagswasserabflüssen von mittel oder hoch belasteten Herkunftsflächen in den Untergrund ohne wasserrechtliche Erlaubnis gilt das Verbot des § 3 Nummer 40 nach einem Jahr nach Inkrafttreten dieser Verordnung.</w:t>
      </w:r>
    </w:p>
    <w:p>
      <w:r>
        <w:rPr>
          <w:color w:val="555555"/>
          <w:sz w:val="17"/>
        </w:rPr>
        <w:t xml:space="preserve">Zitiervorschlag: § 11 VO-WSGKYRITZ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https://recht.nulegal.eu/gesetze/VO-WSGKYRITZ/11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