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VO-VOERSATZFRSTRAFE_2024 (Brandenburg) — Widerruf, Beendigung</w:t>
      </w:r>
    </w:p>
    <w:p>
      <w:r>
        <w:rPr>
          <w:color w:val="555555"/>
          <w:sz w:val="18"/>
        </w:rPr>
        <w:t xml:space="preserve">Verordnung über die Abwendung der Vollstreckung einer Ersatzfreiheitsstrafe durch freie Arbeit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Vollstreckungsbehörde kann die Gestattung nach Anhörung der verurteilten Person und der Beteiligung der Gerichtshilfe oder des beauftragten freien Trägers widerrufen, wenn die verurteilte Person</w:t>
      </w:r>
    </w:p>
    <w:p>
      <w:r>
        <w:t xml:space="preserve">ohne genügende Entschuldigung die Arbeit nicht aufnimmt, nicht zur Arbeit erscheint oder die Arbeit abbricht,</w:t>
      </w:r>
    </w:p>
    <w:p>
      <w:r>
        <w:t xml:space="preserve">trotz Abmahnung der Beschäftigungsstelle mit ihrer Arbeitsleistung hinter den Anforderungen zurückbleibt, die billigerweise an sie gestellt werden können,</w:t>
      </w:r>
    </w:p>
    <w:p>
      <w:r>
        <w:t xml:space="preserve">gröblich oder beharrlich gegen ihr erteilte Weisungen oder Anordnungen verstößt oder</w:t>
      </w:r>
    </w:p>
    <w:p>
      <w:r>
        <w:t xml:space="preserve">durch sonstiges schuldhaftes Verhalten eine Weiterbeschäftigung für die Beschäftigungsstelle unzumutbar macht.</w:t>
      </w:r>
    </w:p>
    <w:p>
      <w:r>
        <w:t xml:space="preserve">(2) Die Gestattung endet, wenn die verurteilte Person bei der bisherigen Beschäftigungsstelle nicht mehr weiter tätig sein kann und ein neues Beschäftigungsverhältnis in angemessener Zeit nicht zustande gekommen ist. Die Voll-streckungsbehörde teilt der verurteilten Person den Wegfall der Gestattung mit.</w:t>
      </w:r>
    </w:p>
    <w:p>
      <w:r>
        <w:rPr>
          <w:color w:val="555555"/>
          <w:sz w:val="17"/>
        </w:rPr>
        <w:t xml:space="preserve">Zitiervorschlag: § 8 VO-VOERSATZFRSTRAFE_2024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https://recht.nulegal.eu/gesetze/VO-VOERSATZFRSTRAFE_2024/8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