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VO-UEVDUENGERECHT (Brandenburg)</w:t>
      </w:r>
    </w:p>
    <w:p>
      <w:r>
        <w:rPr>
          <w:color w:val="555555"/>
          <w:sz w:val="18"/>
        </w:rPr>
        <w:t xml:space="preserve">Verordnung zur Übertragung von Ermächtigungen auf dem Gebiet des Düngerechts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31. August 2020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Der Minister für Landwirtschaft,</w:t>
      </w:r>
    </w:p>
    <w:p>
      <w:r>
        <w:t xml:space="preserve">Umwelt und Klimaschutz</w:t>
      </w:r>
    </w:p>
    <w:p>
      <w:r>
        <w:t xml:space="preserve">Axel Vogel</w:t>
      </w:r>
    </w:p>
    <w:p>
      <w:r>
        <w:rPr>
          <w:color w:val="555555"/>
          <w:sz w:val="17"/>
        </w:rPr>
        <w:t xml:space="preserve">Zitiervorschlag: § 2 VO-UEVDUENGERECHT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https://recht.nulegal.eu/gesetze/VO-UEVDUENGERECHT/2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