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VO-TZGUEV (Brandenburg)</w:t>
      </w:r>
    </w:p>
    <w:p>
      <w:r>
        <w:rPr>
          <w:color w:val="555555"/>
          <w:sz w:val="18"/>
        </w:rPr>
        <w:t xml:space="preserve">Verordnung zur Übertragung von Ermächtigungen nach dem Tierzuchtgesetz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zur Übertragung von Ermächtigungen nach dem Tierzuchtgesetz vom 7. Februar 2013 ( GVBl. II Nr. 17) außer Kraft.</w:t>
      </w:r>
    </w:p>
    <w:p>
      <w:r>
        <w:t xml:space="preserve">Einzelnorm</w:t>
      </w:r>
    </w:p>
    <w:p>
      <w:r>
        <w:t xml:space="preserve">Potsdam, den 28. August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2 VO-TZGUEV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https://recht.nulegal.eu/gesetze/VO-TZGUEV/2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