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VO-SW_NW_HOELZCHEN_LEDDERNBRUECK (Brandenburg) — Ordnungswidrigkeiten</w:t>
      </w:r>
    </w:p>
    <w:p>
      <w:r>
        <w:rPr>
          <w:color w:val="555555"/>
          <w:sz w:val="18"/>
        </w:rPr>
        <w:t xml:space="preserve">Verordnung über den Schutzwald „Naturwald Hölzchen-Leddernbrück“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37 Absatz 1 Nummer 7 des Waldgesetzes des Landes Brandenburg handelt, wer vorsätzlich oder fahrlässig den Verboten oder Maßgaben des § 4 zuwiderhandelt.</w:t>
      </w:r>
    </w:p>
    <w:p>
      <w:r>
        <w:t xml:space="preserve">(2) Ordnungswidrigkeiten nach Absatz 1 können gemäß § 37 Absatz 3 des Waldgesetzes des Landes Brandenburg mit einer Geldbuße bis zu zwanzigtausend Euro geahndet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7 VO-SW_NW_HOELZCHEN_LEDDERNBRUECK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https://recht.nulegal.eu/gesetze/VO-SW_NW_HOELZCHEN_LEDDERNBRUECK/7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