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VO-SW_NWBREITEFENN (Brandenburg) — Zulässige Handlungen</w:t>
      </w:r>
    </w:p>
    <w:p>
      <w:r>
        <w:rPr>
          <w:color w:val="555555"/>
          <w:sz w:val="18"/>
        </w:rPr>
        <w:t xml:space="preserve">Verordnung über den Schutzwald „Naturwald Breitefenn“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Forstbehörde ist über die getroffenen Maßnahmen unverzüglich zu unterrichten. Sie kann nachträglich ergänzende Anordnungen zur Vereinbarkeit mit dem Schutzweck treffen.</w:t>
      </w:r>
    </w:p>
    <w:p>
      <w:r>
        <w:t xml:space="preserve">(2) Die in § 4 für das Betreten und Befahren des Schutzwaldes enthaltenen Einschränkungen gelten nicht für die Dienstkräfte der Forstbehörden und sonstige von den Forstbehörden beauftragte Personen sowie für Dienstkräfte und beauftragte Personen anderer zuständiger Behörden und Einrichtungen, soweit diese in Wahrnehmung ihrer gesetzlichen Aufgaben handeln. Sie gelten unbeschadet anderer Regelungen weiterhin nicht für Eigentümer und Nutzer zur Durchführung von Maßnahmen zur Sicherung des Bestandes und der zulässigen Nutzung des Eigentums.</w:t>
      </w:r>
    </w:p>
    <w:p>
      <w:r>
        <w:t xml:space="preserve">Einzelnorm</w:t>
      </w:r>
    </w:p>
    <w:p>
      <w:r>
        <w:rPr>
          <w:color w:val="555555"/>
          <w:sz w:val="17"/>
        </w:rPr>
        <w:t xml:space="preserve">Zitiervorschlag: § 5 VO-SW_NWBREITEFENN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https://recht.nulegal.eu/gesetze/VO-SW_NWBREITEFENN/5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