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VO-SW_HIMMELPFORTER_HEIDE (Brandenburg) — Verhältnis zu anderen rechtlichen Bestimmungen</w:t>
      </w:r>
    </w:p>
    <w:p>
      <w:r>
        <w:rPr>
          <w:color w:val="555555"/>
          <w:sz w:val="18"/>
        </w:rPr>
        <w:t xml:space="preserve">Verordnung über den Schutzwald „Himmelpforter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Regelungen naturschutzrechtlicher Schutzgebietsausweisungen im Bereich des in § 2 genannten Gebietes bleiben unberührt.</w:t>
      </w:r>
    </w:p>
    <w:p>
      <w:r>
        <w:t xml:space="preserve">(2) Die Regelungen über gesetzlich geschützte Teile von Natur und Landschaft (§ 17 des Brandenburgischen Naturschutzausführungsgesetzes, § 30 des Bundesnaturschutzgesetzes in Verbindung mit § 18 des Brandenburgischen Naturschutzausführungsgesetzes), über das Netz „Natura 2000“ (§§ 33 und 34 des Bundesnaturschutzgesetzes) und über den Schutz und die Pflege wild lebender Tier- und Pflanzenarten (§§ 37 bis 47 des Bundesnaturschutzgesetzes) sowie über Horststandorte (§ 19 des Brandenburgischen Naturschutzausführungsgesetzes) bleiben unberührt.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VO-SW_HIMMELPFORTER_HEIDE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https://recht.nulegal.eu/gesetze/VO-SW_HIMMELPFORTER_HEIDE/8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